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B4B0"/>
  <w:body>
    <w:tbl>
      <w:tblPr>
        <w:tblStyle w:val="Tablaconcuadrcula"/>
        <w:tblW w:w="0" w:type="auto"/>
        <w:tblLook w:val="04A0"/>
      </w:tblPr>
      <w:tblGrid>
        <w:gridCol w:w="2175"/>
        <w:gridCol w:w="2162"/>
        <w:gridCol w:w="2168"/>
        <w:gridCol w:w="2165"/>
        <w:gridCol w:w="2156"/>
        <w:gridCol w:w="2170"/>
      </w:tblGrid>
      <w:tr w:rsidR="009E05B7" w:rsidRPr="00C21444" w:rsidTr="00C21444">
        <w:tc>
          <w:tcPr>
            <w:tcW w:w="2175" w:type="dxa"/>
            <w:vMerge w:val="restart"/>
            <w:tcBorders>
              <w:top w:val="nil"/>
              <w:left w:val="nil"/>
              <w:bottom w:val="nil"/>
              <w:right w:val="outset" w:sz="6" w:space="0" w:color="92CDDC" w:themeColor="accent5" w:themeTint="99"/>
            </w:tcBorders>
          </w:tcPr>
          <w:p w:rsidR="009E05B7" w:rsidRPr="00C21444" w:rsidRDefault="009E05B7" w:rsidP="00EE4990">
            <w:r w:rsidRPr="00C21444">
              <w:rPr>
                <w:noProof/>
                <w:lang w:val="es-CL" w:eastAsia="es-CL"/>
              </w:rPr>
              <w:drawing>
                <wp:inline distT="0" distB="0" distL="0" distR="0">
                  <wp:extent cx="657225" cy="766762"/>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58415" cy="768151"/>
                          </a:xfrm>
                          <a:prstGeom prst="rect">
                            <a:avLst/>
                          </a:prstGeom>
                        </pic:spPr>
                      </pic:pic>
                    </a:graphicData>
                  </a:graphic>
                </wp:inline>
              </w:drawing>
            </w:r>
          </w:p>
        </w:tc>
        <w:tc>
          <w:tcPr>
            <w:tcW w:w="2162"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008080"/>
          </w:tcPr>
          <w:p w:rsidR="009E05B7" w:rsidRPr="00C21444" w:rsidRDefault="009E05B7" w:rsidP="009E05B7">
            <w:pPr>
              <w:rPr>
                <w:color w:val="FFFFFF" w:themeColor="background1"/>
                <w:lang w:val="es-CL"/>
              </w:rPr>
            </w:pPr>
            <w:r w:rsidRPr="00C21444">
              <w:rPr>
                <w:color w:val="FFFFFF" w:themeColor="background1"/>
                <w:lang w:val="es-CL"/>
              </w:rPr>
              <w:t>Área:</w:t>
            </w:r>
          </w:p>
        </w:tc>
        <w:tc>
          <w:tcPr>
            <w:tcW w:w="2168"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008080"/>
          </w:tcPr>
          <w:p w:rsidR="009E05B7" w:rsidRPr="00C21444" w:rsidRDefault="009E05B7" w:rsidP="009E05B7">
            <w:pPr>
              <w:rPr>
                <w:color w:val="FFFFFF" w:themeColor="background1"/>
                <w:lang w:val="es-CL"/>
              </w:rPr>
            </w:pPr>
            <w:r w:rsidRPr="00C21444">
              <w:rPr>
                <w:color w:val="FFFFFF" w:themeColor="background1"/>
                <w:lang w:val="es-CL"/>
              </w:rPr>
              <w:t>Recursos:</w:t>
            </w:r>
          </w:p>
        </w:tc>
        <w:tc>
          <w:tcPr>
            <w:tcW w:w="2165"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008080"/>
          </w:tcPr>
          <w:p w:rsidR="009E05B7" w:rsidRPr="00C21444" w:rsidRDefault="00E606C6" w:rsidP="009E05B7">
            <w:pPr>
              <w:rPr>
                <w:color w:val="FFFFFF" w:themeColor="background1"/>
                <w:lang w:val="es-CL"/>
              </w:rPr>
            </w:pPr>
            <w:r w:rsidRPr="00C21444">
              <w:rPr>
                <w:color w:val="FFFFFF" w:themeColor="background1"/>
                <w:lang w:val="es-CL"/>
              </w:rPr>
              <w:t>D</w:t>
            </w:r>
            <w:r w:rsidR="009E05B7" w:rsidRPr="00C21444">
              <w:rPr>
                <w:color w:val="FFFFFF" w:themeColor="background1"/>
                <w:lang w:val="es-CL"/>
              </w:rPr>
              <w:t>irigido:</w:t>
            </w:r>
          </w:p>
        </w:tc>
        <w:tc>
          <w:tcPr>
            <w:tcW w:w="2156"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008080"/>
          </w:tcPr>
          <w:p w:rsidR="009E05B7" w:rsidRPr="00C21444" w:rsidRDefault="009E05B7" w:rsidP="009E05B7">
            <w:pPr>
              <w:rPr>
                <w:color w:val="FFFFFF" w:themeColor="background1"/>
                <w:lang w:val="es-CL"/>
              </w:rPr>
            </w:pPr>
            <w:r w:rsidRPr="00C21444">
              <w:rPr>
                <w:color w:val="FFFFFF" w:themeColor="background1"/>
                <w:lang w:val="es-CL"/>
              </w:rPr>
              <w:t>Fecha:</w:t>
            </w:r>
          </w:p>
        </w:tc>
        <w:tc>
          <w:tcPr>
            <w:tcW w:w="2170"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008080"/>
          </w:tcPr>
          <w:p w:rsidR="009E05B7" w:rsidRPr="00C21444" w:rsidRDefault="00E606C6" w:rsidP="009E05B7">
            <w:pPr>
              <w:rPr>
                <w:color w:val="FFFFFF" w:themeColor="background1"/>
                <w:lang w:val="es-CL"/>
              </w:rPr>
            </w:pPr>
            <w:r w:rsidRPr="00C21444">
              <w:rPr>
                <w:color w:val="FFFFFF" w:themeColor="background1"/>
                <w:lang w:val="es-CL"/>
              </w:rPr>
              <w:t>E</w:t>
            </w:r>
            <w:r w:rsidR="00BC244F" w:rsidRPr="00C21444">
              <w:rPr>
                <w:color w:val="FFFFFF" w:themeColor="background1"/>
                <w:lang w:val="es-CL"/>
              </w:rPr>
              <w:t>ncargado</w:t>
            </w:r>
            <w:r w:rsidR="00D26B5B">
              <w:rPr>
                <w:color w:val="FFFFFF" w:themeColor="background1"/>
                <w:lang w:val="es-CL"/>
              </w:rPr>
              <w:t>:</w:t>
            </w:r>
          </w:p>
        </w:tc>
      </w:tr>
      <w:tr w:rsidR="009E05B7" w:rsidRPr="00C21444" w:rsidTr="00C21444">
        <w:tc>
          <w:tcPr>
            <w:tcW w:w="2175" w:type="dxa"/>
            <w:vMerge/>
            <w:tcBorders>
              <w:top w:val="nil"/>
              <w:left w:val="nil"/>
              <w:bottom w:val="nil"/>
              <w:right w:val="outset" w:sz="6" w:space="0" w:color="92CDDC" w:themeColor="accent5" w:themeTint="99"/>
            </w:tcBorders>
          </w:tcPr>
          <w:p w:rsidR="009E05B7" w:rsidRPr="00C21444" w:rsidRDefault="009E05B7"/>
        </w:tc>
        <w:tc>
          <w:tcPr>
            <w:tcW w:w="2162"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FFFFFF" w:themeFill="background1"/>
          </w:tcPr>
          <w:p w:rsidR="009E05B7" w:rsidRPr="00C21444" w:rsidRDefault="00C21444" w:rsidP="0043681B">
            <w:pPr>
              <w:jc w:val="center"/>
            </w:pPr>
            <w:r w:rsidRPr="00D26B5B">
              <w:rPr>
                <w:lang w:val="es-CL"/>
              </w:rPr>
              <w:t xml:space="preserve">Educación </w:t>
            </w:r>
            <w:r w:rsidR="00517B5B" w:rsidRPr="00D26B5B">
              <w:rPr>
                <w:lang w:val="es-CL"/>
              </w:rPr>
              <w:t>C</w:t>
            </w:r>
            <w:r w:rsidR="0043681B">
              <w:rPr>
                <w:lang w:val="es-CL"/>
              </w:rPr>
              <w:t>iudadana</w:t>
            </w:r>
          </w:p>
        </w:tc>
        <w:tc>
          <w:tcPr>
            <w:tcW w:w="2168"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FFFFFF" w:themeFill="background1"/>
          </w:tcPr>
          <w:p w:rsidR="009E05B7" w:rsidRPr="00C21444" w:rsidRDefault="009E05B7" w:rsidP="00D26B5B">
            <w:pPr>
              <w:jc w:val="center"/>
              <w:rPr>
                <w:lang w:val="es-CL"/>
              </w:rPr>
            </w:pPr>
            <w:r w:rsidRPr="00C21444">
              <w:rPr>
                <w:lang w:val="es-CL"/>
              </w:rPr>
              <w:t>Computador</w:t>
            </w:r>
          </w:p>
          <w:p w:rsidR="009E05B7" w:rsidRPr="00C21444" w:rsidRDefault="009E05B7" w:rsidP="00D26B5B">
            <w:pPr>
              <w:jc w:val="center"/>
              <w:rPr>
                <w:lang w:val="es-CL"/>
              </w:rPr>
            </w:pPr>
            <w:r w:rsidRPr="00C21444">
              <w:rPr>
                <w:lang w:val="es-CL"/>
              </w:rPr>
              <w:t>Videos</w:t>
            </w:r>
          </w:p>
          <w:p w:rsidR="009E05B7" w:rsidRPr="00C21444" w:rsidRDefault="009E05B7" w:rsidP="00D26B5B">
            <w:pPr>
              <w:jc w:val="center"/>
            </w:pPr>
            <w:r w:rsidRPr="00C21444">
              <w:rPr>
                <w:lang w:val="es-CL"/>
              </w:rPr>
              <w:t>informativos</w:t>
            </w:r>
          </w:p>
        </w:tc>
        <w:tc>
          <w:tcPr>
            <w:tcW w:w="2165"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FFFFFF" w:themeFill="background1"/>
          </w:tcPr>
          <w:p w:rsidR="009E05B7" w:rsidRPr="00C21444" w:rsidRDefault="009E05B7" w:rsidP="0043681B">
            <w:pPr>
              <w:jc w:val="center"/>
            </w:pPr>
            <w:r w:rsidRPr="00C21444">
              <w:rPr>
                <w:color w:val="0F243E" w:themeColor="text2" w:themeShade="80"/>
                <w:lang w:val="es-CL"/>
              </w:rPr>
              <w:t>Estudiantes</w:t>
            </w:r>
            <w:r w:rsidR="0043681B">
              <w:rPr>
                <w:color w:val="0F243E" w:themeColor="text2" w:themeShade="80"/>
                <w:lang w:val="es-CL"/>
              </w:rPr>
              <w:t xml:space="preserve"> de 1° a 4</w:t>
            </w:r>
            <w:r w:rsidR="00C21444" w:rsidRPr="00C21444">
              <w:rPr>
                <w:color w:val="0F243E" w:themeColor="text2" w:themeShade="80"/>
                <w:lang w:val="es-CL"/>
              </w:rPr>
              <w:t xml:space="preserve">° </w:t>
            </w:r>
            <w:r w:rsidR="0043681B">
              <w:rPr>
                <w:color w:val="0F243E" w:themeColor="text2" w:themeShade="80"/>
                <w:lang w:val="es-CL"/>
              </w:rPr>
              <w:t>medio</w:t>
            </w:r>
          </w:p>
        </w:tc>
        <w:tc>
          <w:tcPr>
            <w:tcW w:w="2156"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FFFFFF" w:themeFill="background1"/>
          </w:tcPr>
          <w:p w:rsidR="009E05B7" w:rsidRPr="00C21444" w:rsidRDefault="00C21444" w:rsidP="00D26B5B">
            <w:pPr>
              <w:jc w:val="center"/>
            </w:pPr>
            <w:r w:rsidRPr="00C21444">
              <w:rPr>
                <w:color w:val="0F243E" w:themeColor="text2" w:themeShade="80"/>
                <w:lang w:val="es-CL"/>
              </w:rPr>
              <w:t>8 de marzo 2021</w:t>
            </w:r>
          </w:p>
        </w:tc>
        <w:tc>
          <w:tcPr>
            <w:tcW w:w="2170" w:type="dxa"/>
            <w:tcBorders>
              <w:top w:val="outset" w:sz="6" w:space="0" w:color="92CDDC" w:themeColor="accent5" w:themeTint="99"/>
              <w:left w:val="outset" w:sz="6" w:space="0" w:color="92CDDC" w:themeColor="accent5" w:themeTint="99"/>
              <w:bottom w:val="outset" w:sz="6" w:space="0" w:color="92CDDC" w:themeColor="accent5" w:themeTint="99"/>
              <w:right w:val="outset" w:sz="6" w:space="0" w:color="92CDDC" w:themeColor="accent5" w:themeTint="99"/>
            </w:tcBorders>
            <w:shd w:val="clear" w:color="auto" w:fill="FFFFFF" w:themeFill="background1"/>
          </w:tcPr>
          <w:p w:rsidR="001C1C02" w:rsidRPr="00C21444" w:rsidRDefault="00E02BF2" w:rsidP="00D26B5B">
            <w:pPr>
              <w:jc w:val="center"/>
              <w:rPr>
                <w:color w:val="0F243E" w:themeColor="text2" w:themeShade="80"/>
                <w:lang w:val="es-CL"/>
              </w:rPr>
            </w:pPr>
            <w:r>
              <w:rPr>
                <w:color w:val="0F243E" w:themeColor="text2" w:themeShade="80"/>
                <w:lang w:val="es-CL"/>
              </w:rPr>
              <w:t>Profesores/as de la hora correspondiente</w:t>
            </w:r>
          </w:p>
          <w:p w:rsidR="009E05B7" w:rsidRPr="00C21444" w:rsidRDefault="009E05B7" w:rsidP="00D26B5B">
            <w:pPr>
              <w:jc w:val="center"/>
            </w:pPr>
          </w:p>
        </w:tc>
      </w:tr>
      <w:tr w:rsidR="009E05B7" w:rsidRPr="00C21444" w:rsidTr="00C21444">
        <w:tc>
          <w:tcPr>
            <w:tcW w:w="2175" w:type="dxa"/>
            <w:vMerge w:val="restart"/>
            <w:tcBorders>
              <w:top w:val="nil"/>
              <w:left w:val="nil"/>
              <w:bottom w:val="nil"/>
              <w:right w:val="nil"/>
            </w:tcBorders>
            <w:textDirection w:val="btLr"/>
          </w:tcPr>
          <w:p w:rsidR="00B252D6" w:rsidRPr="00C21444" w:rsidRDefault="00B252D6" w:rsidP="00B252D6">
            <w:pPr>
              <w:ind w:left="113" w:right="113"/>
              <w:jc w:val="center"/>
              <w:rPr>
                <w:color w:val="FFFFFF" w:themeColor="background1"/>
                <w:sz w:val="72"/>
                <w:szCs w:val="72"/>
                <w:lang w:val="es-CL"/>
              </w:rPr>
            </w:pPr>
            <w:r w:rsidRPr="00C21444">
              <w:rPr>
                <w:color w:val="FFFFFF" w:themeColor="background1"/>
                <w:sz w:val="72"/>
                <w:szCs w:val="72"/>
                <w:lang w:val="es-CL"/>
              </w:rPr>
              <w:t>Planificación</w:t>
            </w:r>
          </w:p>
          <w:p w:rsidR="00B252D6" w:rsidRPr="00C21444" w:rsidRDefault="00C21444" w:rsidP="00B252D6">
            <w:pPr>
              <w:ind w:left="113" w:right="113"/>
              <w:jc w:val="center"/>
              <w:rPr>
                <w:color w:val="FFFFFF" w:themeColor="background1"/>
                <w:sz w:val="32"/>
                <w:szCs w:val="32"/>
                <w:lang w:val="es-CL"/>
              </w:rPr>
            </w:pPr>
            <w:r w:rsidRPr="00C21444">
              <w:rPr>
                <w:b/>
                <w:color w:val="FFFFFF" w:themeColor="background1"/>
                <w:sz w:val="32"/>
                <w:szCs w:val="32"/>
                <w:lang w:val="es-CL"/>
              </w:rPr>
              <w:t>CONMEMORACIÓN DÍA INTERNACIONAL DE LA MUJER</w:t>
            </w:r>
          </w:p>
          <w:p w:rsidR="009E05B7" w:rsidRPr="00C21444" w:rsidRDefault="009E05B7" w:rsidP="00B252D6">
            <w:pPr>
              <w:ind w:left="113" w:right="113"/>
            </w:pPr>
          </w:p>
        </w:tc>
        <w:tc>
          <w:tcPr>
            <w:tcW w:w="10821" w:type="dxa"/>
            <w:gridSpan w:val="5"/>
            <w:tcBorders>
              <w:top w:val="outset" w:sz="6" w:space="0" w:color="92CDDC" w:themeColor="accent5" w:themeTint="99"/>
              <w:left w:val="nil"/>
              <w:bottom w:val="inset" w:sz="6" w:space="0" w:color="92CDDC" w:themeColor="accent5" w:themeTint="99"/>
              <w:right w:val="nil"/>
            </w:tcBorders>
          </w:tcPr>
          <w:p w:rsidR="009E05B7" w:rsidRPr="00C21444" w:rsidRDefault="00A26AD1" w:rsidP="00A26AD1">
            <w:pPr>
              <w:tabs>
                <w:tab w:val="left" w:pos="3135"/>
              </w:tabs>
            </w:pPr>
            <w:r w:rsidRPr="00C21444">
              <w:tab/>
            </w:r>
          </w:p>
        </w:tc>
        <w:bookmarkStart w:id="0" w:name="_GoBack"/>
        <w:bookmarkEnd w:id="0"/>
      </w:tr>
      <w:tr w:rsidR="00C21444" w:rsidRPr="00C21444" w:rsidTr="00C21444">
        <w:tc>
          <w:tcPr>
            <w:tcW w:w="2175" w:type="dxa"/>
            <w:vMerge/>
            <w:tcBorders>
              <w:top w:val="nil"/>
              <w:left w:val="nil"/>
              <w:bottom w:val="nil"/>
              <w:right w:val="inset" w:sz="6" w:space="0" w:color="92CDDC" w:themeColor="accent5" w:themeTint="99"/>
            </w:tcBorders>
          </w:tcPr>
          <w:p w:rsidR="00C21444" w:rsidRPr="00C21444" w:rsidRDefault="00C21444" w:rsidP="009E05B7"/>
        </w:tc>
        <w:tc>
          <w:tcPr>
            <w:tcW w:w="10821" w:type="dxa"/>
            <w:gridSpan w:val="5"/>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008080"/>
          </w:tcPr>
          <w:p w:rsidR="00C21444" w:rsidRPr="00C21444" w:rsidRDefault="00C21444" w:rsidP="00C21444">
            <w:pPr>
              <w:jc w:val="center"/>
              <w:rPr>
                <w:b/>
                <w:color w:val="FFFFFF" w:themeColor="background1"/>
                <w:sz w:val="24"/>
                <w:szCs w:val="24"/>
                <w:lang w:val="es-CL"/>
              </w:rPr>
            </w:pPr>
            <w:r w:rsidRPr="00C21444">
              <w:rPr>
                <w:b/>
                <w:color w:val="FFFFFF" w:themeColor="background1"/>
                <w:sz w:val="24"/>
                <w:szCs w:val="24"/>
                <w:lang w:val="es-CL"/>
              </w:rPr>
              <w:t>CONMEMORACIÓN DÍA INTERNACIONAL DE LA MUJER</w:t>
            </w:r>
          </w:p>
        </w:tc>
      </w:tr>
      <w:tr w:rsidR="009E05B7" w:rsidRPr="00C21444" w:rsidTr="00C21444">
        <w:tc>
          <w:tcPr>
            <w:tcW w:w="2175" w:type="dxa"/>
            <w:vMerge/>
            <w:tcBorders>
              <w:top w:val="nil"/>
              <w:left w:val="nil"/>
              <w:bottom w:val="nil"/>
              <w:right w:val="inset" w:sz="6" w:space="0" w:color="92CDDC" w:themeColor="accent5" w:themeTint="99"/>
            </w:tcBorders>
          </w:tcPr>
          <w:p w:rsidR="009E05B7" w:rsidRPr="00C21444" w:rsidRDefault="009E05B7" w:rsidP="009E05B7"/>
        </w:tc>
        <w:tc>
          <w:tcPr>
            <w:tcW w:w="4330" w:type="dxa"/>
            <w:gridSpan w:val="2"/>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008080"/>
          </w:tcPr>
          <w:p w:rsidR="009E05B7" w:rsidRPr="00C21444" w:rsidRDefault="009E05B7" w:rsidP="009E05B7">
            <w:pPr>
              <w:rPr>
                <w:b/>
                <w:color w:val="FFFFFF" w:themeColor="background1"/>
                <w:lang w:val="es-CL"/>
              </w:rPr>
            </w:pPr>
            <w:r w:rsidRPr="00C21444">
              <w:rPr>
                <w:b/>
                <w:color w:val="FFFFFF" w:themeColor="background1"/>
                <w:lang w:val="es-CL"/>
              </w:rPr>
              <w:t xml:space="preserve">Objetivo de aprendizaje </w:t>
            </w:r>
          </w:p>
          <w:p w:rsidR="009E05B7" w:rsidRPr="00C21444" w:rsidRDefault="009E05B7" w:rsidP="009E05B7">
            <w:pPr>
              <w:rPr>
                <w:b/>
                <w:color w:val="FFFFFF" w:themeColor="background1"/>
                <w:lang w:val="es-CL"/>
              </w:rPr>
            </w:pPr>
          </w:p>
        </w:tc>
        <w:tc>
          <w:tcPr>
            <w:tcW w:w="6491" w:type="dxa"/>
            <w:gridSpan w:val="3"/>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FFFFFF" w:themeFill="background1"/>
          </w:tcPr>
          <w:p w:rsidR="00517B5B" w:rsidRPr="00902F1F" w:rsidRDefault="00517B5B" w:rsidP="00517B5B">
            <w:pPr>
              <w:autoSpaceDE w:val="0"/>
              <w:autoSpaceDN w:val="0"/>
              <w:adjustRightInd w:val="0"/>
              <w:rPr>
                <w:rFonts w:eastAsiaTheme="minorHAnsi" w:cs="Roboto-Black"/>
                <w:sz w:val="20"/>
                <w:szCs w:val="20"/>
                <w:lang w:val="es-CL" w:eastAsia="en-US"/>
              </w:rPr>
            </w:pPr>
            <w:r w:rsidRPr="00902F1F">
              <w:rPr>
                <w:rFonts w:eastAsiaTheme="minorHAnsi" w:cs="Roboto-Black"/>
                <w:sz w:val="20"/>
                <w:szCs w:val="20"/>
                <w:lang w:val="es-CL" w:eastAsia="en-US"/>
              </w:rPr>
              <w:t>OA 6</w:t>
            </w:r>
          </w:p>
          <w:p w:rsidR="00C21444" w:rsidRPr="00902F1F" w:rsidRDefault="00517B5B" w:rsidP="00517B5B">
            <w:pPr>
              <w:autoSpaceDE w:val="0"/>
              <w:autoSpaceDN w:val="0"/>
              <w:adjustRightInd w:val="0"/>
              <w:rPr>
                <w:rFonts w:eastAsiaTheme="minorHAnsi" w:cs="Roboto-Regular"/>
                <w:sz w:val="20"/>
                <w:szCs w:val="20"/>
                <w:lang w:val="es-CL" w:eastAsia="en-US"/>
              </w:rPr>
            </w:pPr>
            <w:r w:rsidRPr="00902F1F">
              <w:rPr>
                <w:rFonts w:eastAsiaTheme="minorHAnsi" w:cs="Roboto-Regular"/>
                <w:sz w:val="20"/>
                <w:szCs w:val="20"/>
                <w:lang w:val="es-CL" w:eastAsia="en-US"/>
              </w:rPr>
              <w:t>Reflexionar personal y grupalmente sobre diversas formas de participación y su aporte al fortalecimiento del bien común, considerando experiencias personales, fenómenos sociales contemporáneos y las perspectivas del  republicanismo, el liberalismo y el comunitarismo.</w:t>
            </w:r>
          </w:p>
          <w:p w:rsidR="00517B5B" w:rsidRPr="00C21444" w:rsidRDefault="00517B5B" w:rsidP="00517B5B">
            <w:pPr>
              <w:rPr>
                <w:rFonts w:eastAsiaTheme="minorHAnsi" w:cs="Roboto-Regular"/>
                <w:sz w:val="20"/>
                <w:szCs w:val="20"/>
                <w:lang w:val="es-CL" w:eastAsia="en-US"/>
              </w:rPr>
            </w:pPr>
          </w:p>
        </w:tc>
      </w:tr>
      <w:tr w:rsidR="009E05B7" w:rsidRPr="00C21444" w:rsidTr="00C21444">
        <w:tc>
          <w:tcPr>
            <w:tcW w:w="2175" w:type="dxa"/>
            <w:vMerge/>
            <w:tcBorders>
              <w:top w:val="nil"/>
              <w:left w:val="nil"/>
              <w:bottom w:val="nil"/>
              <w:right w:val="inset" w:sz="6" w:space="0" w:color="92CDDC" w:themeColor="accent5" w:themeTint="99"/>
            </w:tcBorders>
          </w:tcPr>
          <w:p w:rsidR="009E05B7" w:rsidRPr="00C21444" w:rsidRDefault="009E05B7" w:rsidP="009E05B7"/>
        </w:tc>
        <w:tc>
          <w:tcPr>
            <w:tcW w:w="4330" w:type="dxa"/>
            <w:gridSpan w:val="2"/>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008080"/>
          </w:tcPr>
          <w:p w:rsidR="009E05B7" w:rsidRPr="00C21444" w:rsidRDefault="009E05B7" w:rsidP="009E05B7">
            <w:pPr>
              <w:rPr>
                <w:b/>
                <w:color w:val="FFFFFF" w:themeColor="background1"/>
                <w:lang w:val="es-CL"/>
              </w:rPr>
            </w:pPr>
            <w:r w:rsidRPr="00C21444">
              <w:rPr>
                <w:b/>
                <w:color w:val="FFFFFF" w:themeColor="background1"/>
                <w:lang w:val="es-CL"/>
              </w:rPr>
              <w:t>Objetivo de la actividad</w:t>
            </w:r>
          </w:p>
        </w:tc>
        <w:tc>
          <w:tcPr>
            <w:tcW w:w="6491" w:type="dxa"/>
            <w:gridSpan w:val="3"/>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FFFFFF" w:themeFill="background1"/>
          </w:tcPr>
          <w:p w:rsidR="009E05B7" w:rsidRPr="00D26B5B" w:rsidRDefault="009E05B7" w:rsidP="00C21444">
            <w:pPr>
              <w:rPr>
                <w:color w:val="0F243E" w:themeColor="text2" w:themeShade="80"/>
                <w:sz w:val="20"/>
                <w:szCs w:val="20"/>
                <w:lang w:val="es-CL"/>
              </w:rPr>
            </w:pPr>
            <w:r w:rsidRPr="00D26B5B">
              <w:rPr>
                <w:color w:val="0F243E" w:themeColor="text2" w:themeShade="80"/>
                <w:sz w:val="20"/>
                <w:szCs w:val="20"/>
                <w:lang w:val="es-CL"/>
              </w:rPr>
              <w:t xml:space="preserve">Promover conductas </w:t>
            </w:r>
            <w:r w:rsidR="00C21444" w:rsidRPr="00D26B5B">
              <w:rPr>
                <w:sz w:val="20"/>
                <w:szCs w:val="20"/>
                <w:lang w:val="es-CL"/>
              </w:rPr>
              <w:t>empáticas en relación a la diferencia de género.</w:t>
            </w:r>
          </w:p>
        </w:tc>
      </w:tr>
      <w:tr w:rsidR="009E05B7" w:rsidRPr="00C21444" w:rsidTr="00C21444">
        <w:tc>
          <w:tcPr>
            <w:tcW w:w="2175" w:type="dxa"/>
            <w:vMerge/>
            <w:tcBorders>
              <w:top w:val="nil"/>
              <w:left w:val="nil"/>
              <w:bottom w:val="nil"/>
              <w:right w:val="inset" w:sz="6" w:space="0" w:color="92CDDC" w:themeColor="accent5" w:themeTint="99"/>
            </w:tcBorders>
          </w:tcPr>
          <w:p w:rsidR="009E05B7" w:rsidRPr="00C21444" w:rsidRDefault="009E05B7" w:rsidP="009E05B7"/>
        </w:tc>
        <w:tc>
          <w:tcPr>
            <w:tcW w:w="10821" w:type="dxa"/>
            <w:gridSpan w:val="5"/>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008080"/>
          </w:tcPr>
          <w:p w:rsidR="009E05B7" w:rsidRPr="00C21444" w:rsidRDefault="009E05B7" w:rsidP="009E05B7">
            <w:pPr>
              <w:rPr>
                <w:b/>
                <w:color w:val="FFFFFF" w:themeColor="background1"/>
                <w:lang w:val="es-CL"/>
              </w:rPr>
            </w:pPr>
            <w:r w:rsidRPr="00C21444">
              <w:rPr>
                <w:b/>
                <w:color w:val="FFFFFF" w:themeColor="background1"/>
                <w:lang w:val="es-CL"/>
              </w:rPr>
              <w:t>Acciones</w:t>
            </w:r>
          </w:p>
        </w:tc>
      </w:tr>
      <w:tr w:rsidR="009E05B7" w:rsidRPr="00C21444" w:rsidTr="00C21444">
        <w:tc>
          <w:tcPr>
            <w:tcW w:w="2175" w:type="dxa"/>
            <w:vMerge/>
            <w:tcBorders>
              <w:top w:val="nil"/>
              <w:left w:val="nil"/>
              <w:bottom w:val="nil"/>
              <w:right w:val="inset" w:sz="6" w:space="0" w:color="92CDDC" w:themeColor="accent5" w:themeTint="99"/>
            </w:tcBorders>
          </w:tcPr>
          <w:p w:rsidR="009E05B7" w:rsidRPr="00C21444" w:rsidRDefault="009E05B7" w:rsidP="009E05B7"/>
        </w:tc>
        <w:tc>
          <w:tcPr>
            <w:tcW w:w="10821" w:type="dxa"/>
            <w:gridSpan w:val="5"/>
            <w:tcBorders>
              <w:top w:val="inset" w:sz="6" w:space="0" w:color="92CDDC" w:themeColor="accent5" w:themeTint="99"/>
              <w:left w:val="inset" w:sz="6" w:space="0" w:color="92CDDC" w:themeColor="accent5" w:themeTint="99"/>
              <w:bottom w:val="inset" w:sz="6" w:space="0" w:color="92CDDC" w:themeColor="accent5" w:themeTint="99"/>
              <w:right w:val="inset" w:sz="6" w:space="0" w:color="92CDDC" w:themeColor="accent5" w:themeTint="99"/>
            </w:tcBorders>
            <w:shd w:val="clear" w:color="auto" w:fill="FFFFFF" w:themeFill="background1"/>
          </w:tcPr>
          <w:p w:rsidR="0074683C" w:rsidRPr="0043681B" w:rsidRDefault="00C21444" w:rsidP="00C21444">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La actividad se realiza en 1 clase de 90 minutos aproximadamente, en que las y los estudiantes des</w:t>
            </w:r>
            <w:r w:rsidR="001E635C" w:rsidRPr="0043681B">
              <w:rPr>
                <w:rFonts w:eastAsiaTheme="minorHAnsi" w:cs="Roboto-Regular"/>
                <w:sz w:val="20"/>
                <w:szCs w:val="20"/>
                <w:lang w:val="es-CL" w:eastAsia="en-US"/>
              </w:rPr>
              <w:t xml:space="preserve">arrollan de manera individual y </w:t>
            </w:r>
            <w:r w:rsidRPr="0043681B">
              <w:rPr>
                <w:rFonts w:eastAsiaTheme="minorHAnsi" w:cs="Roboto-Regular"/>
                <w:sz w:val="20"/>
                <w:szCs w:val="20"/>
                <w:lang w:val="es-CL" w:eastAsia="en-US"/>
              </w:rPr>
              <w:t>luego grupal una reflexión sobre el buen trato entre hombres y mujeres y como el diálogo permite mejorar la comunicación entre los seres humanos más allá de sus diferencias.</w:t>
            </w:r>
          </w:p>
          <w:p w:rsidR="00C21444" w:rsidRPr="0043681B" w:rsidRDefault="00C21444" w:rsidP="00C21444">
            <w:pPr>
              <w:autoSpaceDE w:val="0"/>
              <w:autoSpaceDN w:val="0"/>
              <w:adjustRightInd w:val="0"/>
              <w:rPr>
                <w:rFonts w:eastAsiaTheme="minorHAnsi" w:cs="Roboto-Regular"/>
                <w:sz w:val="20"/>
                <w:szCs w:val="20"/>
                <w:lang w:val="es-CL" w:eastAsia="en-US"/>
              </w:rPr>
            </w:pPr>
          </w:p>
          <w:p w:rsidR="00C21444" w:rsidRPr="0043681B" w:rsidRDefault="00C21444" w:rsidP="00C21444">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El docente saluda a las y los estudiantes</w:t>
            </w:r>
            <w:r w:rsidR="001E635C" w:rsidRPr="0043681B">
              <w:rPr>
                <w:rFonts w:eastAsiaTheme="minorHAnsi" w:cs="Roboto-Regular"/>
                <w:sz w:val="20"/>
                <w:szCs w:val="20"/>
                <w:lang w:val="es-CL" w:eastAsia="en-US"/>
              </w:rPr>
              <w:t xml:space="preserve">, hace una pequeña reflexión en relación a la oración de la mañana </w:t>
            </w:r>
            <w:r w:rsidRPr="0043681B">
              <w:rPr>
                <w:rFonts w:eastAsiaTheme="minorHAnsi" w:cs="Roboto-Regular"/>
                <w:sz w:val="20"/>
                <w:szCs w:val="20"/>
                <w:lang w:val="es-CL" w:eastAsia="en-US"/>
              </w:rPr>
              <w:t xml:space="preserve"> y los invita a comentar el siguiente video:</w:t>
            </w:r>
          </w:p>
          <w:p w:rsidR="001E635C" w:rsidRPr="0043681B" w:rsidRDefault="0043681B" w:rsidP="00C21444">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¿Quiénes son las tesis? https://www.youtube.com/watch?v=_utq2Y7nXPw</w:t>
            </w:r>
          </w:p>
          <w:p w:rsidR="008071B9" w:rsidRPr="0043681B" w:rsidRDefault="008071B9" w:rsidP="00C21444">
            <w:pPr>
              <w:autoSpaceDE w:val="0"/>
              <w:autoSpaceDN w:val="0"/>
              <w:adjustRightInd w:val="0"/>
              <w:rPr>
                <w:rFonts w:eastAsiaTheme="minorHAnsi" w:cs="Roboto-Regular"/>
                <w:sz w:val="20"/>
                <w:szCs w:val="20"/>
                <w:lang w:val="es-CL" w:eastAsia="en-US"/>
              </w:rPr>
            </w:pP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Puede utilizar las siguientes preguntas:</w:t>
            </w:r>
          </w:p>
          <w:p w:rsidR="0043681B" w:rsidRPr="0043681B" w:rsidRDefault="0043681B" w:rsidP="0043681B">
            <w:pPr>
              <w:autoSpaceDE w:val="0"/>
              <w:autoSpaceDN w:val="0"/>
              <w:adjustRightInd w:val="0"/>
              <w:rPr>
                <w:rFonts w:eastAsiaTheme="minorHAnsi" w:cs="Roboto-Bold"/>
                <w:b/>
                <w:bCs/>
                <w:sz w:val="20"/>
                <w:szCs w:val="20"/>
                <w:lang w:val="es-CL" w:eastAsia="en-US"/>
              </w:rPr>
            </w:pPr>
            <w:r w:rsidRPr="0043681B">
              <w:rPr>
                <w:rFonts w:eastAsiaTheme="minorHAnsi" w:cs="Roboto-Bold"/>
                <w:b/>
                <w:bCs/>
                <w:sz w:val="20"/>
                <w:szCs w:val="20"/>
                <w:lang w:val="es-CL" w:eastAsia="en-US"/>
              </w:rPr>
              <w:t>¿Qué les llamó la atención del video?</w:t>
            </w:r>
          </w:p>
          <w:p w:rsidR="0043681B" w:rsidRPr="0043681B" w:rsidRDefault="0043681B" w:rsidP="0043681B">
            <w:pPr>
              <w:autoSpaceDE w:val="0"/>
              <w:autoSpaceDN w:val="0"/>
              <w:adjustRightInd w:val="0"/>
              <w:rPr>
                <w:rFonts w:eastAsiaTheme="minorHAnsi" w:cs="Roboto-Bold"/>
                <w:b/>
                <w:bCs/>
                <w:sz w:val="20"/>
                <w:szCs w:val="20"/>
                <w:lang w:val="es-CL" w:eastAsia="en-US"/>
              </w:rPr>
            </w:pPr>
            <w:r w:rsidRPr="0043681B">
              <w:rPr>
                <w:rFonts w:eastAsiaTheme="minorHAnsi" w:cs="Roboto-Bold"/>
                <w:b/>
                <w:bCs/>
                <w:sz w:val="20"/>
                <w:szCs w:val="20"/>
                <w:lang w:val="es-CL" w:eastAsia="en-US"/>
              </w:rPr>
              <w:t>¿Por qué este colectivo se llama las tesis?</w:t>
            </w:r>
          </w:p>
          <w:p w:rsidR="0043681B" w:rsidRPr="0043681B" w:rsidRDefault="0043681B" w:rsidP="0043681B">
            <w:pPr>
              <w:autoSpaceDE w:val="0"/>
              <w:autoSpaceDN w:val="0"/>
              <w:adjustRightInd w:val="0"/>
              <w:rPr>
                <w:rFonts w:eastAsiaTheme="minorHAnsi" w:cs="Roboto-Bold"/>
                <w:b/>
                <w:bCs/>
                <w:sz w:val="20"/>
                <w:szCs w:val="20"/>
                <w:lang w:val="es-CL" w:eastAsia="en-US"/>
              </w:rPr>
            </w:pPr>
            <w:r w:rsidRPr="0043681B">
              <w:rPr>
                <w:rFonts w:eastAsiaTheme="minorHAnsi" w:cs="Roboto-Bold"/>
                <w:b/>
                <w:bCs/>
                <w:sz w:val="20"/>
                <w:szCs w:val="20"/>
                <w:lang w:val="es-CL" w:eastAsia="en-US"/>
              </w:rPr>
              <w:t>¿Qué forma tiene este performance que puede vincularse con una tesis?</w:t>
            </w:r>
          </w:p>
          <w:p w:rsidR="001E635C"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Este pequeño video les permite introducir una conversación sobre la realidad de las mujeres y la violencia contra ellas en la sociedad actual.</w:t>
            </w:r>
          </w:p>
          <w:p w:rsidR="0043681B" w:rsidRPr="0043681B" w:rsidRDefault="0043681B" w:rsidP="0043681B">
            <w:pPr>
              <w:autoSpaceDE w:val="0"/>
              <w:autoSpaceDN w:val="0"/>
              <w:adjustRightInd w:val="0"/>
              <w:rPr>
                <w:rFonts w:eastAsiaTheme="minorHAnsi" w:cs="Roboto-Regular"/>
                <w:sz w:val="20"/>
                <w:szCs w:val="20"/>
                <w:lang w:val="es-CL" w:eastAsia="en-US"/>
              </w:rPr>
            </w:pP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Con las respuestas recogidas de los estudiantes, el o la profesora introduce el tema, señalando que la violencia hacia las mujeres es aún un desafío que implica no solo un cambio personal, sino un cambio en las políticas del Estado hacia las mujeres, pues persisten situaciones de injusticia.</w:t>
            </w: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El o la profesora los invita a formar grupos de 5 estudiantes. Cada grupo recibirá dos documentos para lectura y análisis:</w:t>
            </w:r>
          </w:p>
          <w:p w:rsidR="0043681B" w:rsidRPr="0043681B" w:rsidRDefault="0043681B" w:rsidP="0043681B">
            <w:pPr>
              <w:pStyle w:val="Prrafodelista"/>
              <w:numPr>
                <w:ilvl w:val="0"/>
                <w:numId w:val="8"/>
              </w:num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Fragmento de un texto de Rita Segato</w:t>
            </w:r>
            <w:r>
              <w:rPr>
                <w:rFonts w:eastAsiaTheme="minorHAnsi" w:cs="Roboto-Regular"/>
                <w:sz w:val="20"/>
                <w:szCs w:val="20"/>
                <w:lang w:val="es-CL" w:eastAsia="en-US"/>
              </w:rPr>
              <w:t>(Anexo 1)</w:t>
            </w:r>
          </w:p>
          <w:p w:rsidR="0043681B" w:rsidRPr="0043681B" w:rsidRDefault="0043681B" w:rsidP="0043681B">
            <w:pPr>
              <w:pStyle w:val="Prrafodelista"/>
              <w:numPr>
                <w:ilvl w:val="0"/>
                <w:numId w:val="8"/>
              </w:num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Noticia promulgación de Ley Gabriela</w:t>
            </w:r>
            <w:r>
              <w:rPr>
                <w:rFonts w:eastAsiaTheme="minorHAnsi" w:cs="Roboto-Regular"/>
                <w:sz w:val="20"/>
                <w:szCs w:val="20"/>
                <w:lang w:val="es-CL" w:eastAsia="en-US"/>
              </w:rPr>
              <w:t xml:space="preserve"> (Anexo 2)</w:t>
            </w:r>
          </w:p>
          <w:p w:rsidR="0043681B" w:rsidRPr="0043681B" w:rsidRDefault="0043681B" w:rsidP="0043681B">
            <w:pPr>
              <w:autoSpaceDE w:val="0"/>
              <w:autoSpaceDN w:val="0"/>
              <w:adjustRightInd w:val="0"/>
              <w:rPr>
                <w:rFonts w:eastAsiaTheme="minorHAnsi" w:cs="Roboto-Regular"/>
                <w:sz w:val="20"/>
                <w:szCs w:val="20"/>
                <w:lang w:val="es-CL" w:eastAsia="en-US"/>
              </w:rPr>
            </w:pPr>
          </w:p>
          <w:p w:rsidR="00C21444" w:rsidRPr="0043681B" w:rsidRDefault="00C21444" w:rsidP="0043681B">
            <w:pPr>
              <w:autoSpaceDE w:val="0"/>
              <w:autoSpaceDN w:val="0"/>
              <w:adjustRightInd w:val="0"/>
              <w:rPr>
                <w:sz w:val="20"/>
                <w:szCs w:val="20"/>
                <w:lang w:val="es-CL"/>
              </w:rPr>
            </w:pP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Instrucciones:</w:t>
            </w: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1. Reúnanse en grupos de 5.</w:t>
            </w: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2. Establezcan las principales ideas de ambos textos, mínimo 3 ideas.</w:t>
            </w: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3. Relacionen las ideas de ambos textos y señalen qué elementos les llaman la atención y por qué.</w:t>
            </w:r>
          </w:p>
          <w:p w:rsidR="0043681B" w:rsidRPr="0043681B" w:rsidRDefault="0043681B" w:rsidP="0043681B">
            <w:pPr>
              <w:autoSpaceDE w:val="0"/>
              <w:autoSpaceDN w:val="0"/>
              <w:adjustRightInd w:val="0"/>
              <w:rPr>
                <w:rFonts w:eastAsiaTheme="minorHAnsi" w:cs="Roboto-Regular"/>
                <w:sz w:val="20"/>
                <w:szCs w:val="20"/>
                <w:lang w:val="es-CL" w:eastAsia="en-US"/>
              </w:rPr>
            </w:pPr>
            <w:r w:rsidRPr="0043681B">
              <w:rPr>
                <w:rFonts w:eastAsiaTheme="minorHAnsi" w:cs="Roboto-Regular"/>
                <w:sz w:val="20"/>
                <w:szCs w:val="20"/>
                <w:lang w:val="es-CL" w:eastAsia="en-US"/>
              </w:rPr>
              <w:t>4. Indiquen una tesis relacionada con los textos leídos.</w:t>
            </w:r>
          </w:p>
          <w:p w:rsidR="0043681B" w:rsidRPr="0043681B" w:rsidRDefault="0043681B" w:rsidP="0043681B">
            <w:pPr>
              <w:autoSpaceDE w:val="0"/>
              <w:autoSpaceDN w:val="0"/>
              <w:adjustRightInd w:val="0"/>
              <w:rPr>
                <w:rFonts w:eastAsiaTheme="minorHAnsi" w:cs="Roboto-Regular"/>
                <w:sz w:val="20"/>
                <w:szCs w:val="20"/>
                <w:lang w:val="es-CL" w:eastAsia="en-US"/>
              </w:rPr>
            </w:pPr>
          </w:p>
          <w:p w:rsidR="0043681B" w:rsidRPr="0043681B" w:rsidRDefault="0043681B" w:rsidP="0043681B">
            <w:pPr>
              <w:autoSpaceDE w:val="0"/>
              <w:autoSpaceDN w:val="0"/>
              <w:adjustRightInd w:val="0"/>
              <w:rPr>
                <w:rFonts w:ascii="Roboto-Regular" w:eastAsiaTheme="minorHAnsi" w:hAnsi="Roboto-Regular" w:cs="Roboto-Regular"/>
                <w:color w:val="49424F"/>
                <w:sz w:val="18"/>
                <w:szCs w:val="18"/>
                <w:lang w:val="es-CL" w:eastAsia="en-US"/>
              </w:rPr>
            </w:pPr>
            <w:r w:rsidRPr="0043681B">
              <w:rPr>
                <w:rFonts w:eastAsiaTheme="minorHAnsi" w:cs="Roboto-Regular"/>
                <w:sz w:val="20"/>
                <w:szCs w:val="20"/>
                <w:lang w:val="es-CL" w:eastAsia="en-US"/>
              </w:rPr>
              <w:t>La o el profesor realiza una ronda de respuestas y contribuye a que las y los estudiantes conversen sobre este tema, manteniendo el respeto a las ideas. Una reflexión importante que debe hacer el o la docente está referida a que hombres y mujeres compartimos todos los espacios de la vida y que en ellos se desarrollan actitudes machistas. Por ejemplo, los femicidios, la violencia en la calle y otros. Para que esto no siga ocurriendo debemos aprender a comprender que esta violencia es una respuesta cultural y aprendida por la tradición.</w:t>
            </w:r>
          </w:p>
        </w:tc>
      </w:tr>
    </w:tbl>
    <w:p w:rsidR="008A2902" w:rsidRPr="00C21444" w:rsidRDefault="008A2902"/>
    <w:tbl>
      <w:tblPr>
        <w:tblStyle w:val="Tablaconcuadrcula"/>
        <w:tblW w:w="0" w:type="auto"/>
        <w:tblLook w:val="04A0"/>
      </w:tblPr>
      <w:tblGrid>
        <w:gridCol w:w="1377"/>
        <w:gridCol w:w="11617"/>
      </w:tblGrid>
      <w:tr w:rsidR="0043681B" w:rsidRPr="0031344B" w:rsidTr="00A870BC">
        <w:tc>
          <w:tcPr>
            <w:tcW w:w="1377" w:type="dxa"/>
            <w:shd w:val="clear" w:color="auto" w:fill="31849B" w:themeFill="accent5" w:themeFillShade="BF"/>
          </w:tcPr>
          <w:p w:rsidR="0043681B" w:rsidRPr="00CD23A9" w:rsidRDefault="0043681B" w:rsidP="00A870BC">
            <w:pPr>
              <w:rPr>
                <w:color w:val="FFFFFF" w:themeColor="background1"/>
                <w:sz w:val="28"/>
                <w:szCs w:val="28"/>
                <w:lang w:val="es-CL"/>
              </w:rPr>
            </w:pPr>
            <w:r w:rsidRPr="00CD23A9">
              <w:rPr>
                <w:color w:val="FFFFFF" w:themeColor="background1"/>
                <w:sz w:val="28"/>
                <w:szCs w:val="28"/>
                <w:lang w:val="es-CL"/>
              </w:rPr>
              <w:t>Anexos 1:</w:t>
            </w:r>
          </w:p>
        </w:tc>
        <w:tc>
          <w:tcPr>
            <w:tcW w:w="11617" w:type="dxa"/>
            <w:shd w:val="clear" w:color="auto" w:fill="FFFFFF" w:themeFill="background1"/>
          </w:tcPr>
          <w:p w:rsidR="0043681B" w:rsidRPr="00CD23A9" w:rsidRDefault="0043681B" w:rsidP="00A870BC">
            <w:pPr>
              <w:rPr>
                <w:color w:val="FFFFFF" w:themeColor="background1"/>
                <w:sz w:val="28"/>
                <w:szCs w:val="28"/>
                <w:lang w:val="es-CL"/>
              </w:rPr>
            </w:pPr>
            <w:r w:rsidRPr="00CD23A9">
              <w:rPr>
                <w:rFonts w:eastAsiaTheme="minorHAnsi" w:cs="Roboto-Regular"/>
                <w:sz w:val="28"/>
                <w:szCs w:val="28"/>
                <w:lang w:val="es-CL" w:eastAsia="en-US"/>
              </w:rPr>
              <w:t>Fragmento de un texto de Rita Segato</w:t>
            </w:r>
          </w:p>
        </w:tc>
      </w:tr>
      <w:tr w:rsidR="0043681B" w:rsidRPr="0031344B" w:rsidTr="0043681B">
        <w:tc>
          <w:tcPr>
            <w:tcW w:w="12994" w:type="dxa"/>
            <w:gridSpan w:val="2"/>
            <w:shd w:val="clear" w:color="auto" w:fill="FFFFFF" w:themeFill="background1"/>
          </w:tcPr>
          <w:p w:rsidR="0043681B" w:rsidRDefault="0043681B" w:rsidP="0043681B">
            <w:pPr>
              <w:autoSpaceDE w:val="0"/>
              <w:autoSpaceDN w:val="0"/>
              <w:adjustRightInd w:val="0"/>
              <w:jc w:val="center"/>
              <w:rPr>
                <w:rFonts w:ascii="Roboto-Regular" w:eastAsiaTheme="minorHAnsi" w:hAnsi="Roboto-Regular" w:cs="Roboto-Regular"/>
                <w:lang w:val="es-CL" w:eastAsia="en-US"/>
              </w:rPr>
            </w:pPr>
          </w:p>
          <w:p w:rsidR="0043681B" w:rsidRPr="0043681B" w:rsidRDefault="0043681B" w:rsidP="0043681B">
            <w:pPr>
              <w:autoSpaceDE w:val="0"/>
              <w:autoSpaceDN w:val="0"/>
              <w:adjustRightInd w:val="0"/>
              <w:jc w:val="both"/>
              <w:rPr>
                <w:rFonts w:eastAsiaTheme="minorHAnsi" w:cs="Roboto-Regular"/>
                <w:lang w:val="es-CL" w:eastAsia="en-US"/>
              </w:rPr>
            </w:pPr>
            <w:r w:rsidRPr="0043681B">
              <w:rPr>
                <w:rFonts w:eastAsiaTheme="minorHAnsi" w:cs="Roboto-Regular"/>
                <w:lang w:val="es-CL" w:eastAsia="en-US"/>
              </w:rPr>
              <w:t xml:space="preserve">“Desde las guerras tribales hasta las guerras convencionales que ocurrieron en la historia de la humanidad hasta la primera mitad del siglo XX, el cuerpo de las mujeres, qua territorio, acompañó el destino de las conquistas y anexiones de las comarcas enemigas, inseminados por la violación de los ejércitos de ocupación. Hoy, ese destino ha sufrido una mutación por razones que tenemos pendiente examinar: su destrucción con exceso de crueldad, su expoliación hasta el último vestigio de vida, su tortura hasta la muerte. </w:t>
            </w:r>
          </w:p>
          <w:p w:rsidR="0043681B" w:rsidRPr="0043681B" w:rsidRDefault="0043681B" w:rsidP="0043681B">
            <w:pPr>
              <w:autoSpaceDE w:val="0"/>
              <w:autoSpaceDN w:val="0"/>
              <w:adjustRightInd w:val="0"/>
              <w:jc w:val="both"/>
              <w:rPr>
                <w:rFonts w:eastAsiaTheme="minorHAnsi" w:cs="Roboto-Regular"/>
                <w:lang w:val="es-CL" w:eastAsia="en-US"/>
              </w:rPr>
            </w:pPr>
          </w:p>
          <w:p w:rsidR="0043681B" w:rsidRPr="0043681B" w:rsidRDefault="0043681B" w:rsidP="0043681B">
            <w:pPr>
              <w:autoSpaceDE w:val="0"/>
              <w:autoSpaceDN w:val="0"/>
              <w:adjustRightInd w:val="0"/>
              <w:jc w:val="both"/>
              <w:rPr>
                <w:rFonts w:eastAsiaTheme="minorHAnsi" w:cs="Roboto-Regular"/>
                <w:lang w:val="es-CL" w:eastAsia="en-US"/>
              </w:rPr>
            </w:pPr>
            <w:r w:rsidRPr="0043681B">
              <w:rPr>
                <w:rFonts w:eastAsiaTheme="minorHAnsi" w:cs="Roboto-Regular"/>
                <w:lang w:val="es-CL" w:eastAsia="en-US"/>
              </w:rPr>
              <w:t>La rapiña que se desata sobre lo femenino se manifiesta tanto en formas de destrucción corporal sin precedentes como en las formas de trata y comercialización de lo que estos cuerpos puedan ofrecer, hasta el último límite. A pesar de todas las victorias en el campo del Estado y de la multiplicación de leyes y políticas públicas de protección para las mujeres, su vulnerabilidad frente a la violencia ha aumentado, especialmente la ocupación depredadora de los cuerpos femeninos o feminizados en el contexto de las  nuevas guerras”</w:t>
            </w:r>
          </w:p>
          <w:p w:rsidR="0043681B" w:rsidRPr="0043681B" w:rsidRDefault="0043681B" w:rsidP="0043681B">
            <w:pPr>
              <w:autoSpaceDE w:val="0"/>
              <w:autoSpaceDN w:val="0"/>
              <w:adjustRightInd w:val="0"/>
              <w:jc w:val="both"/>
              <w:rPr>
                <w:rFonts w:eastAsiaTheme="minorHAnsi" w:cs="Roboto-Regular"/>
                <w:lang w:val="es-CL" w:eastAsia="en-US"/>
              </w:rPr>
            </w:pPr>
          </w:p>
          <w:p w:rsidR="0043681B" w:rsidRPr="0043681B" w:rsidRDefault="0043681B" w:rsidP="0043681B">
            <w:pPr>
              <w:jc w:val="both"/>
              <w:rPr>
                <w:rFonts w:eastAsiaTheme="minorHAnsi" w:cs="Roboto-Regular"/>
                <w:lang w:val="es-CL" w:eastAsia="en-US"/>
              </w:rPr>
            </w:pPr>
            <w:r w:rsidRPr="0043681B">
              <w:rPr>
                <w:rFonts w:eastAsiaTheme="minorHAnsi" w:cs="Roboto-Regular"/>
                <w:lang w:val="es-CL" w:eastAsia="en-US"/>
              </w:rPr>
              <w:t>(Las nuevas formas de la guerra y el cuerpo de las mujeres, Rita Segato, 2014)</w:t>
            </w:r>
          </w:p>
          <w:p w:rsidR="0043681B" w:rsidRPr="0043681B" w:rsidRDefault="0043681B" w:rsidP="0043681B">
            <w:pPr>
              <w:jc w:val="center"/>
              <w:rPr>
                <w:rFonts w:eastAsiaTheme="minorHAnsi" w:cs="Roboto-Regular"/>
                <w:sz w:val="20"/>
                <w:szCs w:val="20"/>
                <w:lang w:val="es-CL" w:eastAsia="en-US"/>
              </w:rPr>
            </w:pPr>
          </w:p>
        </w:tc>
      </w:tr>
      <w:tr w:rsidR="0043681B" w:rsidRPr="0031344B" w:rsidTr="00A870BC">
        <w:tc>
          <w:tcPr>
            <w:tcW w:w="1377" w:type="dxa"/>
            <w:shd w:val="clear" w:color="auto" w:fill="31849B" w:themeFill="accent5" w:themeFillShade="BF"/>
          </w:tcPr>
          <w:p w:rsidR="0043681B" w:rsidRPr="00CD23A9" w:rsidRDefault="0043681B" w:rsidP="00A870BC">
            <w:pPr>
              <w:rPr>
                <w:color w:val="FFFFFF" w:themeColor="background1"/>
                <w:sz w:val="28"/>
                <w:szCs w:val="28"/>
                <w:lang w:val="es-CL"/>
              </w:rPr>
            </w:pPr>
            <w:r w:rsidRPr="00CD23A9">
              <w:rPr>
                <w:color w:val="FFFFFF" w:themeColor="background1"/>
                <w:sz w:val="28"/>
                <w:szCs w:val="28"/>
                <w:lang w:val="es-CL"/>
              </w:rPr>
              <w:t>Anexo 2:</w:t>
            </w:r>
          </w:p>
        </w:tc>
        <w:tc>
          <w:tcPr>
            <w:tcW w:w="11617" w:type="dxa"/>
            <w:shd w:val="clear" w:color="auto" w:fill="FFFFFF" w:themeFill="background1"/>
          </w:tcPr>
          <w:p w:rsidR="0043681B" w:rsidRPr="00CD23A9" w:rsidRDefault="0043681B" w:rsidP="00A870BC">
            <w:pPr>
              <w:rPr>
                <w:rFonts w:eastAsiaTheme="minorHAnsi" w:cs="Roboto-Regular"/>
                <w:sz w:val="28"/>
                <w:szCs w:val="28"/>
                <w:lang w:val="es-CL" w:eastAsia="en-US"/>
              </w:rPr>
            </w:pPr>
            <w:r w:rsidRPr="00CD23A9">
              <w:rPr>
                <w:rFonts w:eastAsiaTheme="minorHAnsi" w:cs="Roboto-Regular"/>
                <w:sz w:val="28"/>
                <w:szCs w:val="28"/>
                <w:lang w:val="es-CL" w:eastAsia="en-US"/>
              </w:rPr>
              <w:t>Noticia promulgación de Ley Gabriela</w:t>
            </w:r>
          </w:p>
        </w:tc>
      </w:tr>
      <w:tr w:rsidR="0043681B" w:rsidRPr="0031344B" w:rsidTr="0043681B">
        <w:tc>
          <w:tcPr>
            <w:tcW w:w="12994" w:type="dxa"/>
            <w:gridSpan w:val="2"/>
            <w:shd w:val="clear" w:color="auto" w:fill="FFFFFF" w:themeFill="background1"/>
          </w:tcPr>
          <w:p w:rsidR="0043681B" w:rsidRPr="0043681B" w:rsidRDefault="0043681B" w:rsidP="0043681B">
            <w:pPr>
              <w:jc w:val="both"/>
              <w:rPr>
                <w:rFonts w:eastAsiaTheme="minorHAnsi" w:cs="Roboto-Regular"/>
                <w:sz w:val="20"/>
                <w:szCs w:val="20"/>
                <w:lang w:val="es-CL" w:eastAsia="en-US"/>
              </w:rPr>
            </w:pPr>
          </w:p>
          <w:p w:rsidR="0043681B" w:rsidRPr="0043681B" w:rsidRDefault="0043681B" w:rsidP="0043681B">
            <w:pPr>
              <w:autoSpaceDE w:val="0"/>
              <w:autoSpaceDN w:val="0"/>
              <w:adjustRightInd w:val="0"/>
              <w:jc w:val="both"/>
              <w:rPr>
                <w:rFonts w:eastAsiaTheme="minorHAnsi" w:cs="Roboto-Black"/>
                <w:sz w:val="28"/>
                <w:szCs w:val="28"/>
                <w:lang w:val="es-CL" w:eastAsia="en-US"/>
              </w:rPr>
            </w:pPr>
            <w:r w:rsidRPr="0043681B">
              <w:rPr>
                <w:rFonts w:eastAsiaTheme="minorHAnsi" w:cs="Roboto-Black"/>
                <w:sz w:val="28"/>
                <w:szCs w:val="28"/>
                <w:lang w:val="es-CL" w:eastAsia="en-US"/>
              </w:rPr>
              <w:t>"Ley Gabriela" fue aprobada en general por la Sala del Senado</w:t>
            </w:r>
          </w:p>
          <w:p w:rsidR="0043681B" w:rsidRP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Publicado: Miércoles, 25 de septiembre de 2019 a las 01:06hrs.</w:t>
            </w: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Autor: Cooperativa.cl</w:t>
            </w:r>
          </w:p>
          <w:p w:rsidR="0043681B" w:rsidRDefault="0043681B" w:rsidP="0043681B">
            <w:pPr>
              <w:autoSpaceDE w:val="0"/>
              <w:autoSpaceDN w:val="0"/>
              <w:adjustRightInd w:val="0"/>
              <w:jc w:val="both"/>
              <w:rPr>
                <w:rFonts w:eastAsiaTheme="minorHAnsi" w:cs="Roboto-Regular"/>
                <w:sz w:val="20"/>
                <w:szCs w:val="20"/>
                <w:lang w:val="es-CL" w:eastAsia="en-US"/>
              </w:rPr>
            </w:pP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Pr="0043681B" w:rsidRDefault="0043681B" w:rsidP="0043681B">
            <w:pPr>
              <w:autoSpaceDE w:val="0"/>
              <w:autoSpaceDN w:val="0"/>
              <w:adjustRightInd w:val="0"/>
              <w:jc w:val="both"/>
              <w:rPr>
                <w:rFonts w:eastAsiaTheme="minorHAnsi" w:cs="Roboto-Bold"/>
                <w:b/>
                <w:bCs/>
                <w:sz w:val="20"/>
                <w:szCs w:val="20"/>
                <w:lang w:val="es-CL" w:eastAsia="en-US"/>
              </w:rPr>
            </w:pPr>
            <w:r w:rsidRPr="0043681B">
              <w:rPr>
                <w:rFonts w:eastAsiaTheme="minorHAnsi" w:cs="Roboto-Bold"/>
                <w:b/>
                <w:bCs/>
                <w:sz w:val="20"/>
                <w:szCs w:val="20"/>
                <w:lang w:val="es-CL" w:eastAsia="en-US"/>
              </w:rPr>
              <w:lastRenderedPageBreak/>
              <w:t>• La iniciativa amplía la tipificación de femicidio, incluyendo todos los asesinatos de mujeres conrazón de género.</w:t>
            </w:r>
          </w:p>
          <w:p w:rsidR="0043681B" w:rsidRDefault="0043681B" w:rsidP="0043681B">
            <w:pPr>
              <w:autoSpaceDE w:val="0"/>
              <w:autoSpaceDN w:val="0"/>
              <w:adjustRightInd w:val="0"/>
              <w:jc w:val="both"/>
              <w:rPr>
                <w:rFonts w:eastAsiaTheme="minorHAnsi" w:cs="Roboto-Bold"/>
                <w:b/>
                <w:bCs/>
                <w:sz w:val="20"/>
                <w:szCs w:val="20"/>
                <w:lang w:val="es-CL" w:eastAsia="en-US"/>
              </w:rPr>
            </w:pPr>
            <w:r w:rsidRPr="0043681B">
              <w:rPr>
                <w:rFonts w:eastAsiaTheme="minorHAnsi" w:cs="Roboto-Bold"/>
                <w:b/>
                <w:bCs/>
                <w:sz w:val="20"/>
                <w:szCs w:val="20"/>
                <w:lang w:val="es-CL" w:eastAsia="en-US"/>
              </w:rPr>
              <w:t>• Tuvo 30 votos a favor y dos abstenciones, ambas de parlamentarios de la UDI.</w:t>
            </w:r>
          </w:p>
          <w:p w:rsidR="00CD23A9" w:rsidRPr="0043681B" w:rsidRDefault="00CD23A9" w:rsidP="0043681B">
            <w:pPr>
              <w:autoSpaceDE w:val="0"/>
              <w:autoSpaceDN w:val="0"/>
              <w:adjustRightInd w:val="0"/>
              <w:jc w:val="both"/>
              <w:rPr>
                <w:rFonts w:eastAsiaTheme="minorHAnsi" w:cs="Roboto-Bold"/>
                <w:b/>
                <w:bCs/>
                <w:sz w:val="20"/>
                <w:szCs w:val="20"/>
                <w:lang w:val="es-CL" w:eastAsia="en-US"/>
              </w:rPr>
            </w:pP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El Senado aprobó este martes en general el proyecto de "Ley Gabriela", que amplía la tipificación dedelito de femicidio, incluyendo cualquier asesinato de mujer con razón de género.</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La iniciativa, que surgió a raíz del asesinato de Gabriela Alcaino y su madre a manos de su ex pololo,tuvo 30 votos a favor y dos abstenciones, de los senadores Juan Antonio Coloma y Luz Ebensperger(ambos UDI).</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Parlamentarios habían pedido aplazar la votación para que la Comisión de Constitución revisara lainiciativa en particular, aunque se decidió votarlo para que posteriormente pase por esta instancia ypor la Comisión de Mujer.</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La senadora Carmen Gloria Aravena (Independiente) planteó que "he mirado la estadística de losúltimos 10 años y no ha habido ningún cambio, pero ni milimétrico estadístico respecto de la disminuciónde femicidios. Todo lo contrario, han sido más cruentos, más dolorosos y pareciera que toda lapolítica pública, todos los recursos humanos y financieros, no han sido suficiente".</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P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"Entonces, hoy día en Latinoamérica ya hay 16 países que han normado de esta manera y por lo tanto,</w:t>
            </w: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Chile no puede quedar atrás en esto", dijo.</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Pr="0043681B" w:rsidRDefault="0043681B" w:rsidP="0043681B">
            <w:pPr>
              <w:autoSpaceDE w:val="0"/>
              <w:autoSpaceDN w:val="0"/>
              <w:adjustRightInd w:val="0"/>
              <w:jc w:val="both"/>
              <w:rPr>
                <w:rFonts w:eastAsiaTheme="minorHAnsi" w:cs="Roboto-Bold"/>
                <w:b/>
                <w:bCs/>
                <w:sz w:val="20"/>
                <w:szCs w:val="20"/>
                <w:lang w:val="es-CL" w:eastAsia="en-US"/>
              </w:rPr>
            </w:pPr>
            <w:r w:rsidRPr="0043681B">
              <w:rPr>
                <w:rFonts w:eastAsiaTheme="minorHAnsi" w:cs="Roboto-Bold"/>
                <w:b/>
                <w:bCs/>
                <w:sz w:val="20"/>
                <w:szCs w:val="20"/>
                <w:lang w:val="es-CL" w:eastAsia="en-US"/>
              </w:rPr>
              <w:t>Cuestionamientos al proyecto</w:t>
            </w:r>
          </w:p>
          <w:p w:rsid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Los retrasos en la discusión se deben a que algunos parlamentarios consideran que el proyectoafecta la igualdad entre hombres y mujeres, además de las diferencias en la proporcionalidad de laspenas.</w:t>
            </w:r>
          </w:p>
          <w:p w:rsidR="00CD23A9" w:rsidRPr="0043681B" w:rsidRDefault="00CD23A9" w:rsidP="0043681B">
            <w:pPr>
              <w:autoSpaceDE w:val="0"/>
              <w:autoSpaceDN w:val="0"/>
              <w:adjustRightInd w:val="0"/>
              <w:jc w:val="both"/>
              <w:rPr>
                <w:rFonts w:eastAsiaTheme="minorHAnsi" w:cs="Roboto-Regular"/>
                <w:sz w:val="20"/>
                <w:szCs w:val="20"/>
                <w:lang w:val="es-CL" w:eastAsia="en-US"/>
              </w:rPr>
            </w:pPr>
          </w:p>
          <w:p w:rsidR="0043681B" w:rsidRPr="0043681B" w:rsidRDefault="0043681B" w:rsidP="0043681B">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La diputada KarolCariola (PC), una de las impulsoras del proyecto, planteó que "queda claro que elfondo de la discusión de hoy no tenía que ver con un problema de constitucionalidad, sino que teníaque ver básicamente con un problema de no entender, o más bien de no compartir el trasfondo de laley".</w:t>
            </w:r>
          </w:p>
          <w:p w:rsidR="00CD23A9" w:rsidRDefault="00CD23A9" w:rsidP="00CD23A9">
            <w:pPr>
              <w:autoSpaceDE w:val="0"/>
              <w:autoSpaceDN w:val="0"/>
              <w:adjustRightInd w:val="0"/>
              <w:jc w:val="both"/>
              <w:rPr>
                <w:rFonts w:eastAsiaTheme="minorHAnsi" w:cs="Roboto-Regular"/>
                <w:sz w:val="20"/>
                <w:szCs w:val="20"/>
                <w:lang w:val="es-CL" w:eastAsia="en-US"/>
              </w:rPr>
            </w:pPr>
          </w:p>
          <w:p w:rsidR="0043681B" w:rsidRDefault="0043681B" w:rsidP="00CD23A9">
            <w:pPr>
              <w:autoSpaceDE w:val="0"/>
              <w:autoSpaceDN w:val="0"/>
              <w:adjustRightInd w:val="0"/>
              <w:jc w:val="both"/>
              <w:rPr>
                <w:rFonts w:eastAsiaTheme="minorHAnsi" w:cs="Roboto-Regular"/>
                <w:sz w:val="20"/>
                <w:szCs w:val="20"/>
                <w:lang w:val="es-CL" w:eastAsia="en-US"/>
              </w:rPr>
            </w:pPr>
            <w:r w:rsidRPr="0043681B">
              <w:rPr>
                <w:rFonts w:eastAsiaTheme="minorHAnsi" w:cs="Roboto-Regular"/>
                <w:sz w:val="20"/>
                <w:szCs w:val="20"/>
                <w:lang w:val="es-CL" w:eastAsia="en-US"/>
              </w:rPr>
              <w:t>"Esa argumentación, de querer decir que esto no garantiza la igualdad ante la ley es no entender queaquí las mujeres son asesinadas por el hecho de ser mujeres", dijo.</w:t>
            </w:r>
          </w:p>
          <w:p w:rsidR="00CD23A9" w:rsidRPr="0043681B" w:rsidRDefault="00CD23A9" w:rsidP="00CD23A9">
            <w:pPr>
              <w:autoSpaceDE w:val="0"/>
              <w:autoSpaceDN w:val="0"/>
              <w:adjustRightInd w:val="0"/>
              <w:jc w:val="both"/>
              <w:rPr>
                <w:rFonts w:eastAsiaTheme="minorHAnsi" w:cs="Roboto-Regular"/>
                <w:sz w:val="20"/>
                <w:szCs w:val="20"/>
                <w:lang w:val="es-CL" w:eastAsia="en-US"/>
              </w:rPr>
            </w:pPr>
          </w:p>
        </w:tc>
      </w:tr>
    </w:tbl>
    <w:p w:rsidR="00AB380E" w:rsidRPr="00C21444" w:rsidRDefault="00AB380E"/>
    <w:sectPr w:rsidR="00AB380E" w:rsidRPr="00C21444" w:rsidSect="0074683C">
      <w:pgSz w:w="15840" w:h="12240" w:orient="landscape"/>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boto-Black">
    <w:panose1 w:val="00000000000000000000"/>
    <w:charset w:val="00"/>
    <w:family w:val="swiss"/>
    <w:notTrueType/>
    <w:pitch w:val="default"/>
    <w:sig w:usb0="00000003" w:usb1="00000000" w:usb2="00000000" w:usb3="00000000" w:csb0="00000001" w:csb1="00000000"/>
  </w:font>
  <w:font w:name="Roboto-Regular">
    <w:panose1 w:val="00000000000000000000"/>
    <w:charset w:val="00"/>
    <w:family w:val="swiss"/>
    <w:notTrueType/>
    <w:pitch w:val="default"/>
    <w:sig w:usb0="00000003" w:usb1="00000000" w:usb2="00000000" w:usb3="00000000" w:csb0="00000001" w:csb1="00000000"/>
  </w:font>
  <w:font w:name="Robot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96A9D"/>
    <w:multiLevelType w:val="multilevel"/>
    <w:tmpl w:val="B69A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586F8A"/>
    <w:multiLevelType w:val="hybridMultilevel"/>
    <w:tmpl w:val="9AFAFFF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1F3A29B9"/>
    <w:multiLevelType w:val="multilevel"/>
    <w:tmpl w:val="CDF4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101540"/>
    <w:multiLevelType w:val="hybridMultilevel"/>
    <w:tmpl w:val="E470199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
    <w:nsid w:val="477B03DE"/>
    <w:multiLevelType w:val="multilevel"/>
    <w:tmpl w:val="13B4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4237CC2"/>
    <w:multiLevelType w:val="hybridMultilevel"/>
    <w:tmpl w:val="2D1A89C2"/>
    <w:lvl w:ilvl="0" w:tplc="340A0001">
      <w:start w:val="1"/>
      <w:numFmt w:val="bullet"/>
      <w:lvlText w:val=""/>
      <w:lvlJc w:val="left"/>
      <w:pPr>
        <w:ind w:left="1004" w:hanging="360"/>
      </w:pPr>
      <w:rPr>
        <w:rFonts w:ascii="Symbol" w:hAnsi="Symbol" w:hint="default"/>
      </w:rPr>
    </w:lvl>
    <w:lvl w:ilvl="1" w:tplc="340A0003" w:tentative="1">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6">
    <w:nsid w:val="6B526F45"/>
    <w:multiLevelType w:val="multilevel"/>
    <w:tmpl w:val="0546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52151A"/>
    <w:multiLevelType w:val="multilevel"/>
    <w:tmpl w:val="8FD4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5"/>
  </w:num>
  <w:num w:numId="5">
    <w:abstractNumId w:val="0"/>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defaultTabStop w:val="708"/>
  <w:hyphenationZone w:val="425"/>
  <w:characterSpacingControl w:val="doNotCompress"/>
  <w:compat/>
  <w:rsids>
    <w:rsidRoot w:val="009E05B7"/>
    <w:rsid w:val="00097937"/>
    <w:rsid w:val="000C41E2"/>
    <w:rsid w:val="000D38F2"/>
    <w:rsid w:val="000F25B8"/>
    <w:rsid w:val="001C1C02"/>
    <w:rsid w:val="001C7A58"/>
    <w:rsid w:val="001E635C"/>
    <w:rsid w:val="001F10FC"/>
    <w:rsid w:val="002A65E0"/>
    <w:rsid w:val="0043681B"/>
    <w:rsid w:val="00505219"/>
    <w:rsid w:val="00517B5B"/>
    <w:rsid w:val="005251A4"/>
    <w:rsid w:val="005616B2"/>
    <w:rsid w:val="005902BA"/>
    <w:rsid w:val="00607AFC"/>
    <w:rsid w:val="00652F12"/>
    <w:rsid w:val="0068794D"/>
    <w:rsid w:val="006C365E"/>
    <w:rsid w:val="00713FB2"/>
    <w:rsid w:val="00732EC1"/>
    <w:rsid w:val="0074683C"/>
    <w:rsid w:val="007E4348"/>
    <w:rsid w:val="007F7BE3"/>
    <w:rsid w:val="008071B9"/>
    <w:rsid w:val="008A2902"/>
    <w:rsid w:val="008E76AA"/>
    <w:rsid w:val="00902F1F"/>
    <w:rsid w:val="0095513B"/>
    <w:rsid w:val="009E05B7"/>
    <w:rsid w:val="00A26AD1"/>
    <w:rsid w:val="00AB380E"/>
    <w:rsid w:val="00B252D6"/>
    <w:rsid w:val="00B333CC"/>
    <w:rsid w:val="00B547B7"/>
    <w:rsid w:val="00B72BE8"/>
    <w:rsid w:val="00BC244F"/>
    <w:rsid w:val="00BD3869"/>
    <w:rsid w:val="00C21444"/>
    <w:rsid w:val="00CD23A9"/>
    <w:rsid w:val="00D07C42"/>
    <w:rsid w:val="00D26B5B"/>
    <w:rsid w:val="00D65263"/>
    <w:rsid w:val="00E02BF2"/>
    <w:rsid w:val="00E5237C"/>
    <w:rsid w:val="00E606C6"/>
    <w:rsid w:val="00EA4A95"/>
    <w:rsid w:val="00EE4990"/>
    <w:rsid w:val="00EF2F97"/>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b4b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B7"/>
    <w:rPr>
      <w:rFonts w:eastAsiaTheme="minorEastAsia" w:cs="Times New Roman"/>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E05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E05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05B7"/>
    <w:rPr>
      <w:rFonts w:ascii="Tahoma" w:eastAsiaTheme="minorEastAsia" w:hAnsi="Tahoma" w:cs="Tahoma"/>
      <w:sz w:val="16"/>
      <w:szCs w:val="16"/>
      <w:lang w:val="es-ES" w:eastAsia="es-ES"/>
    </w:rPr>
  </w:style>
  <w:style w:type="character" w:styleId="Refdecomentario">
    <w:name w:val="annotation reference"/>
    <w:basedOn w:val="Fuentedeprrafopredeter"/>
    <w:uiPriority w:val="99"/>
    <w:semiHidden/>
    <w:unhideWhenUsed/>
    <w:rsid w:val="001F10FC"/>
    <w:rPr>
      <w:sz w:val="16"/>
      <w:szCs w:val="16"/>
    </w:rPr>
  </w:style>
  <w:style w:type="paragraph" w:styleId="Textocomentario">
    <w:name w:val="annotation text"/>
    <w:basedOn w:val="Normal"/>
    <w:link w:val="TextocomentarioCar"/>
    <w:uiPriority w:val="99"/>
    <w:semiHidden/>
    <w:unhideWhenUsed/>
    <w:rsid w:val="001F10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F10FC"/>
    <w:rPr>
      <w:rFonts w:eastAsiaTheme="minorEastAsia"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1F10FC"/>
    <w:rPr>
      <w:b/>
      <w:bCs/>
    </w:rPr>
  </w:style>
  <w:style w:type="character" w:customStyle="1" w:styleId="AsuntodelcomentarioCar">
    <w:name w:val="Asunto del comentario Car"/>
    <w:basedOn w:val="TextocomentarioCar"/>
    <w:link w:val="Asuntodelcomentario"/>
    <w:uiPriority w:val="99"/>
    <w:semiHidden/>
    <w:rsid w:val="001F10FC"/>
    <w:rPr>
      <w:rFonts w:eastAsiaTheme="minorEastAsia" w:cs="Times New Roman"/>
      <w:b/>
      <w:bCs/>
      <w:sz w:val="20"/>
      <w:szCs w:val="20"/>
      <w:lang w:val="es-ES" w:eastAsia="es-ES"/>
    </w:rPr>
  </w:style>
  <w:style w:type="paragraph" w:styleId="NormalWeb">
    <w:name w:val="Normal (Web)"/>
    <w:basedOn w:val="Normal"/>
    <w:uiPriority w:val="99"/>
    <w:unhideWhenUsed/>
    <w:rsid w:val="000C41E2"/>
    <w:pPr>
      <w:spacing w:before="100" w:beforeAutospacing="1" w:after="100" w:afterAutospacing="1" w:line="240" w:lineRule="auto"/>
    </w:pPr>
    <w:rPr>
      <w:rFonts w:ascii="Times New Roman" w:eastAsia="Times New Roman" w:hAnsi="Times New Roman"/>
      <w:sz w:val="24"/>
      <w:szCs w:val="24"/>
      <w:lang w:val="es-CL" w:eastAsia="es-CL"/>
    </w:rPr>
  </w:style>
  <w:style w:type="paragraph" w:styleId="Prrafodelista">
    <w:name w:val="List Paragraph"/>
    <w:basedOn w:val="Normal"/>
    <w:uiPriority w:val="34"/>
    <w:qFormat/>
    <w:rsid w:val="000C41E2"/>
    <w:pPr>
      <w:ind w:left="720"/>
      <w:contextualSpacing/>
    </w:pPr>
  </w:style>
  <w:style w:type="character" w:styleId="Hipervnculo">
    <w:name w:val="Hyperlink"/>
    <w:basedOn w:val="Fuentedeprrafopredeter"/>
    <w:uiPriority w:val="99"/>
    <w:unhideWhenUsed/>
    <w:rsid w:val="00687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1670576">
      <w:bodyDiv w:val="1"/>
      <w:marLeft w:val="0"/>
      <w:marRight w:val="0"/>
      <w:marTop w:val="0"/>
      <w:marBottom w:val="0"/>
      <w:divBdr>
        <w:top w:val="none" w:sz="0" w:space="0" w:color="auto"/>
        <w:left w:val="none" w:sz="0" w:space="0" w:color="auto"/>
        <w:bottom w:val="none" w:sz="0" w:space="0" w:color="auto"/>
        <w:right w:val="none" w:sz="0" w:space="0" w:color="auto"/>
      </w:divBdr>
    </w:div>
    <w:div w:id="929578614">
      <w:bodyDiv w:val="1"/>
      <w:marLeft w:val="0"/>
      <w:marRight w:val="0"/>
      <w:marTop w:val="0"/>
      <w:marBottom w:val="0"/>
      <w:divBdr>
        <w:top w:val="none" w:sz="0" w:space="0" w:color="auto"/>
        <w:left w:val="none" w:sz="0" w:space="0" w:color="auto"/>
        <w:bottom w:val="none" w:sz="0" w:space="0" w:color="auto"/>
        <w:right w:val="none" w:sz="0" w:space="0" w:color="auto"/>
      </w:divBdr>
    </w:div>
    <w:div w:id="1150902568">
      <w:bodyDiv w:val="1"/>
      <w:marLeft w:val="0"/>
      <w:marRight w:val="0"/>
      <w:marTop w:val="0"/>
      <w:marBottom w:val="0"/>
      <w:divBdr>
        <w:top w:val="none" w:sz="0" w:space="0" w:color="auto"/>
        <w:left w:val="none" w:sz="0" w:space="0" w:color="auto"/>
        <w:bottom w:val="none" w:sz="0" w:space="0" w:color="auto"/>
        <w:right w:val="none" w:sz="0" w:space="0" w:color="auto"/>
      </w:divBdr>
    </w:div>
    <w:div w:id="1421222858">
      <w:bodyDiv w:val="1"/>
      <w:marLeft w:val="0"/>
      <w:marRight w:val="0"/>
      <w:marTop w:val="0"/>
      <w:marBottom w:val="0"/>
      <w:divBdr>
        <w:top w:val="none" w:sz="0" w:space="0" w:color="auto"/>
        <w:left w:val="none" w:sz="0" w:space="0" w:color="auto"/>
        <w:bottom w:val="none" w:sz="0" w:space="0" w:color="auto"/>
        <w:right w:val="none" w:sz="0" w:space="0" w:color="auto"/>
      </w:divBdr>
    </w:div>
    <w:div w:id="1662272038">
      <w:bodyDiv w:val="1"/>
      <w:marLeft w:val="0"/>
      <w:marRight w:val="0"/>
      <w:marTop w:val="0"/>
      <w:marBottom w:val="0"/>
      <w:divBdr>
        <w:top w:val="none" w:sz="0" w:space="0" w:color="auto"/>
        <w:left w:val="none" w:sz="0" w:space="0" w:color="auto"/>
        <w:bottom w:val="none" w:sz="0" w:space="0" w:color="auto"/>
        <w:right w:val="none" w:sz="0" w:space="0" w:color="auto"/>
      </w:divBdr>
    </w:div>
    <w:div w:id="172814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0550A80-4184-47BA-9CE0-9F02CB93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5346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erasmo cordero</cp:lastModifiedBy>
  <cp:revision>2</cp:revision>
  <dcterms:created xsi:type="dcterms:W3CDTF">2021-03-07T17:28:00Z</dcterms:created>
  <dcterms:modified xsi:type="dcterms:W3CDTF">2021-03-07T17:28:00Z</dcterms:modified>
</cp:coreProperties>
</file>